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7B" w:rsidRDefault="001E747B">
      <w:pPr>
        <w:spacing w:after="0" w:line="240" w:lineRule="auto"/>
        <w:jc w:val="center"/>
        <w:rPr>
          <w:rFonts w:ascii="Arial" w:hAnsi="Arial" w:cs="Arial"/>
          <w:b/>
          <w:bCs/>
          <w:color w:val="3366FF"/>
          <w:sz w:val="20"/>
          <w:szCs w:val="20"/>
        </w:rPr>
      </w:pPr>
      <w:r>
        <w:rPr>
          <w:rFonts w:ascii="Arial" w:hAnsi="Arial" w:cs="Arial"/>
          <w:b/>
          <w:bCs/>
          <w:color w:val="3366FF"/>
          <w:sz w:val="20"/>
          <w:szCs w:val="20"/>
        </w:rPr>
        <w:t>СОВЕТ ДЕПУТАТОВ</w:t>
      </w:r>
    </w:p>
    <w:p w:rsidR="001E747B" w:rsidRDefault="001E747B">
      <w:pPr>
        <w:pStyle w:val="Heading1"/>
      </w:pPr>
      <w:r>
        <w:t>ТОРКОВИЧСКОГО СЕЛЬСКОГО ПОСЕЛЕНИЯ</w:t>
      </w:r>
    </w:p>
    <w:p w:rsidR="001E747B" w:rsidRDefault="001E747B">
      <w:pPr>
        <w:spacing w:after="0" w:line="240" w:lineRule="auto"/>
        <w:jc w:val="center"/>
        <w:rPr>
          <w:rFonts w:ascii="Arial" w:hAnsi="Arial" w:cs="Arial"/>
          <w:b/>
          <w:bCs/>
          <w:color w:val="3366FF"/>
          <w:sz w:val="20"/>
          <w:szCs w:val="20"/>
        </w:rPr>
      </w:pPr>
      <w:r>
        <w:rPr>
          <w:rFonts w:ascii="Arial" w:hAnsi="Arial" w:cs="Arial"/>
          <w:b/>
          <w:bCs/>
          <w:color w:val="3366FF"/>
          <w:sz w:val="20"/>
          <w:szCs w:val="20"/>
        </w:rPr>
        <w:t>ЛУЖСКОГО МУНИЦИПАЛЬНОГО РАЙОНА</w:t>
      </w:r>
    </w:p>
    <w:p w:rsidR="001E747B" w:rsidRDefault="001E747B">
      <w:pPr>
        <w:spacing w:after="0" w:line="240" w:lineRule="auto"/>
        <w:jc w:val="center"/>
        <w:rPr>
          <w:rFonts w:ascii="Arial" w:hAnsi="Arial" w:cs="Arial"/>
          <w:b/>
          <w:bCs/>
          <w:color w:val="3366FF"/>
          <w:sz w:val="24"/>
          <w:szCs w:val="24"/>
        </w:rPr>
      </w:pPr>
      <w:r>
        <w:rPr>
          <w:rFonts w:ascii="Arial" w:hAnsi="Arial" w:cs="Arial"/>
          <w:b/>
          <w:bCs/>
          <w:color w:val="3366FF"/>
          <w:sz w:val="20"/>
          <w:szCs w:val="20"/>
        </w:rPr>
        <w:t>ЛЕНИНГРАДСКОЙ ОБЛАСТИ</w:t>
      </w:r>
    </w:p>
    <w:p w:rsidR="001E747B" w:rsidRDefault="001E747B">
      <w:pPr>
        <w:spacing w:after="0" w:line="240" w:lineRule="auto"/>
        <w:jc w:val="center"/>
        <w:rPr>
          <w:rFonts w:ascii="Arial" w:hAnsi="Arial" w:cs="Arial"/>
          <w:b/>
          <w:bCs/>
          <w:color w:val="3366FF"/>
          <w:sz w:val="24"/>
          <w:szCs w:val="24"/>
        </w:rPr>
      </w:pPr>
    </w:p>
    <w:p w:rsidR="001E747B" w:rsidRDefault="001E747B">
      <w:pPr>
        <w:spacing w:after="0" w:line="240" w:lineRule="auto"/>
        <w:jc w:val="center"/>
        <w:rPr>
          <w:rFonts w:ascii="Arial" w:hAnsi="Arial" w:cs="Arial"/>
          <w:b/>
          <w:bCs/>
          <w:color w:val="3366FF"/>
          <w:sz w:val="24"/>
          <w:szCs w:val="24"/>
        </w:rPr>
      </w:pPr>
      <w:r>
        <w:rPr>
          <w:rFonts w:ascii="Arial" w:hAnsi="Arial" w:cs="Arial"/>
          <w:b/>
          <w:bCs/>
          <w:color w:val="3366FF"/>
          <w:sz w:val="24"/>
          <w:szCs w:val="24"/>
        </w:rPr>
        <w:t>РЕШЕНИЕ</w:t>
      </w:r>
    </w:p>
    <w:p w:rsidR="001E747B" w:rsidRDefault="001E747B">
      <w:pPr>
        <w:spacing w:after="0" w:line="240" w:lineRule="auto"/>
        <w:jc w:val="center"/>
        <w:rPr>
          <w:rFonts w:ascii="Arial" w:hAnsi="Arial" w:cs="Arial"/>
          <w:b/>
          <w:bCs/>
          <w:color w:val="3366FF"/>
          <w:sz w:val="24"/>
          <w:szCs w:val="24"/>
        </w:rPr>
      </w:pPr>
    </w:p>
    <w:p w:rsidR="001E747B" w:rsidRDefault="001E747B">
      <w:pPr>
        <w:spacing w:after="0" w:line="240" w:lineRule="auto"/>
        <w:jc w:val="center"/>
        <w:rPr>
          <w:rFonts w:ascii="Arial" w:hAnsi="Arial" w:cs="Arial"/>
          <w:b/>
          <w:bCs/>
          <w:color w:val="3366FF"/>
          <w:sz w:val="24"/>
          <w:szCs w:val="24"/>
        </w:rPr>
      </w:pPr>
      <w:r>
        <w:rPr>
          <w:rFonts w:ascii="Arial" w:hAnsi="Arial" w:cs="Arial"/>
          <w:b/>
          <w:bCs/>
          <w:color w:val="3366FF"/>
          <w:sz w:val="24"/>
          <w:szCs w:val="24"/>
        </w:rPr>
        <w:t>от 26 июля 2011 года № 61</w:t>
      </w:r>
    </w:p>
    <w:p w:rsidR="001E747B" w:rsidRDefault="001E747B">
      <w:pPr>
        <w:spacing w:after="0" w:line="240" w:lineRule="auto"/>
        <w:jc w:val="center"/>
        <w:rPr>
          <w:rFonts w:ascii="Arial" w:hAnsi="Arial" w:cs="Arial"/>
          <w:b/>
          <w:bCs/>
          <w:color w:val="3366FF"/>
          <w:sz w:val="24"/>
          <w:szCs w:val="24"/>
        </w:rPr>
      </w:pPr>
    </w:p>
    <w:p w:rsidR="001E747B" w:rsidRDefault="001E747B">
      <w:pPr>
        <w:pStyle w:val="BodyText"/>
      </w:pPr>
      <w:r>
        <w:t>Об утверждении официальных символов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jc w:val="center"/>
        <w:rPr>
          <w:rFonts w:ascii="Arial" w:hAnsi="Arial" w:cs="Arial"/>
          <w:b/>
          <w:bCs/>
          <w:color w:val="3366FF"/>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соответствии со cт. 5_Устава муниципального образования Торковичское сельское поселение Лужского муниципального района Ленинградской области Совет депутатов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РЕШИЛ:</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Принять предложение авторского коллектива в составе: Башкирова Константина Сергеевича, Карпуниной Виктории Валерьевны, Штейнбах Светланы Юрьевны, разработавшего эскизы герба и флага муниципального образования Торковичское сельское поселение Лужского муниципального района Ленинградской области и утвердить Положение о гербе муниципального образования Торковичское сельское поселение Лужского муниципального района Ленинградской области (Приложение № 1) и Положение о флаге муниципального образования Торковичское сельское поселение Лужского муниципального района Ленинградской области (Приложение № 2).</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Обратиться в Геральдический совет при президенте РФ с целью внесения герба и флага муниципального образования Торковичское сельское поселение Лужского муниципального района Ленинградской области в Государственный геральдический регистр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Поручить Башкирову Константину Сергеевичу представлять интересы муниципального образования Торковичское сельское поселение Лужского муниципального района Ленинградской области в Геральдическом совете при президенте РФ.</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с момента его опубликования.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  Опубликовать настоящее решение в газете “Лужская правда”.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rPr>
          <w:rFonts w:ascii="Times New Roman" w:hAnsi="Times New Roman" w:cs="Times New Roman"/>
          <w:sz w:val="24"/>
          <w:szCs w:val="24"/>
        </w:rPr>
      </w:pPr>
    </w:p>
    <w:p w:rsidR="001E747B" w:rsidRDefault="001E747B">
      <w:pPr>
        <w:spacing w:after="0" w:line="240" w:lineRule="auto"/>
        <w:rPr>
          <w:rFonts w:ascii="Times New Roman" w:hAnsi="Times New Roman" w:cs="Times New Roman"/>
          <w:sz w:val="24"/>
          <w:szCs w:val="24"/>
        </w:rPr>
      </w:pPr>
    </w:p>
    <w:p w:rsidR="001E747B" w:rsidRDefault="001E747B">
      <w:pPr>
        <w:spacing w:after="0" w:line="240" w:lineRule="auto"/>
        <w:rPr>
          <w:rFonts w:ascii="Times New Roman" w:hAnsi="Times New Roman" w:cs="Times New Roman"/>
          <w:sz w:val="24"/>
          <w:szCs w:val="24"/>
        </w:rPr>
      </w:pPr>
      <w:r>
        <w:rPr>
          <w:rFonts w:ascii="Times New Roman" w:hAnsi="Times New Roman" w:cs="Times New Roman"/>
          <w:sz w:val="24"/>
          <w:szCs w:val="24"/>
        </w:rPr>
        <w:t>Глава Торковичского сельского поселения</w:t>
      </w:r>
    </w:p>
    <w:p w:rsidR="001E747B" w:rsidRDefault="001E747B">
      <w:pPr>
        <w:spacing w:after="0" w:line="240" w:lineRule="auto"/>
        <w:rPr>
          <w:rFonts w:ascii="Times New Roman" w:hAnsi="Times New Roman" w:cs="Times New Roman"/>
          <w:sz w:val="24"/>
          <w:szCs w:val="24"/>
        </w:rPr>
      </w:pPr>
      <w:r>
        <w:rPr>
          <w:rFonts w:ascii="Times New Roman" w:hAnsi="Times New Roman" w:cs="Times New Roman"/>
          <w:sz w:val="24"/>
          <w:szCs w:val="24"/>
        </w:rPr>
        <w:t>Исполняющий обязанности председателя</w:t>
      </w:r>
    </w:p>
    <w:p w:rsidR="001E747B" w:rsidRDefault="001E747B">
      <w:pPr>
        <w:spacing w:after="0" w:line="240" w:lineRule="auto"/>
        <w:rPr>
          <w:rFonts w:ascii="Times New Roman" w:hAnsi="Times New Roman" w:cs="Times New Roman"/>
          <w:sz w:val="24"/>
          <w:szCs w:val="24"/>
        </w:rPr>
      </w:pPr>
      <w:r>
        <w:rPr>
          <w:rFonts w:ascii="Times New Roman" w:hAnsi="Times New Roman" w:cs="Times New Roman"/>
          <w:sz w:val="24"/>
          <w:szCs w:val="24"/>
        </w:rPr>
        <w:t>совета депутатов                                                                                  М.Н.Сергеев</w:t>
      </w:r>
    </w:p>
    <w:p w:rsidR="001E747B" w:rsidRDefault="001E747B">
      <w:pPr>
        <w:spacing w:after="0" w:line="240" w:lineRule="auto"/>
        <w:rPr>
          <w:rFonts w:ascii="Times New Roman" w:hAnsi="Times New Roman" w:cs="Times New Roman"/>
          <w:sz w:val="24"/>
          <w:szCs w:val="24"/>
        </w:rPr>
      </w:pPr>
    </w:p>
    <w:p w:rsidR="001E747B" w:rsidRDefault="001E747B">
      <w:pPr>
        <w:spacing w:after="0" w:line="240" w:lineRule="auto"/>
        <w:rPr>
          <w:rFonts w:ascii="Times New Roman" w:hAnsi="Times New Roman" w:cs="Times New Roman"/>
          <w:sz w:val="24"/>
          <w:szCs w:val="24"/>
        </w:rPr>
      </w:pPr>
    </w:p>
    <w:p w:rsidR="001E747B" w:rsidRDefault="001E747B">
      <w:pPr>
        <w:spacing w:after="0" w:line="240" w:lineRule="auto"/>
        <w:rPr>
          <w:rFonts w:ascii="Times New Roman" w:hAnsi="Times New Roman" w:cs="Times New Roman"/>
          <w:sz w:val="24"/>
          <w:szCs w:val="24"/>
        </w:rPr>
      </w:pPr>
    </w:p>
    <w:p w:rsidR="001E747B" w:rsidRDefault="001E7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747B" w:rsidRDefault="001E747B">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br w:type="page"/>
      </w:r>
      <w:r>
        <w:rPr>
          <w:rFonts w:ascii="Times New Roman" w:hAnsi="Times New Roman" w:cs="Times New Roman"/>
          <w:i/>
          <w:iCs/>
          <w:sz w:val="24"/>
          <w:szCs w:val="24"/>
        </w:rPr>
        <w:t>Приложение N 1</w:t>
      </w:r>
    </w:p>
    <w:p w:rsidR="001E747B" w:rsidRDefault="001E747B">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УТВЕРЖДЕНО</w:t>
      </w:r>
    </w:p>
    <w:p w:rsidR="001E747B" w:rsidRDefault="001E747B">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Решением Совета депутатов </w:t>
      </w:r>
    </w:p>
    <w:p w:rsidR="001E747B" w:rsidRDefault="001E747B">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Торковичское сельское поселение </w:t>
      </w:r>
    </w:p>
    <w:p w:rsidR="001E747B" w:rsidRDefault="001E747B">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Лужского муниципального района </w:t>
      </w:r>
    </w:p>
    <w:p w:rsidR="001E747B" w:rsidRDefault="001E747B">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Ленинградской области </w:t>
      </w:r>
    </w:p>
    <w:p w:rsidR="001E747B" w:rsidRDefault="001E747B">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N 61 от 26 июля 2011 г.</w:t>
      </w:r>
    </w:p>
    <w:p w:rsidR="001E747B" w:rsidRDefault="001E747B">
      <w:pPr>
        <w:spacing w:after="0" w:line="240" w:lineRule="auto"/>
        <w:rPr>
          <w:rFonts w:ascii="Times New Roman" w:hAnsi="Times New Roman" w:cs="Times New Roman"/>
          <w:sz w:val="24"/>
          <w:szCs w:val="24"/>
        </w:rPr>
      </w:pPr>
    </w:p>
    <w:p w:rsidR="001E747B" w:rsidRDefault="001E747B">
      <w:pPr>
        <w:spacing w:after="0" w:line="240" w:lineRule="auto"/>
        <w:jc w:val="center"/>
        <w:rPr>
          <w:rFonts w:ascii="Arial" w:hAnsi="Arial" w:cs="Arial"/>
          <w:b/>
          <w:bCs/>
          <w:color w:val="3366FF"/>
          <w:sz w:val="28"/>
          <w:szCs w:val="28"/>
        </w:rPr>
      </w:pPr>
      <w:r>
        <w:rPr>
          <w:rFonts w:ascii="Arial" w:hAnsi="Arial" w:cs="Arial"/>
          <w:b/>
          <w:bCs/>
          <w:color w:val="3366FF"/>
          <w:sz w:val="28"/>
          <w:szCs w:val="28"/>
        </w:rPr>
        <w:t>ПОЛОЖЕНИЕ О ГЕРБЕ МУНИЦИПАЛЬНОГО ОБРАЗОВАНИЯ</w:t>
      </w:r>
    </w:p>
    <w:p w:rsidR="001E747B" w:rsidRDefault="001E747B">
      <w:pPr>
        <w:spacing w:after="0" w:line="240" w:lineRule="auto"/>
        <w:jc w:val="center"/>
        <w:rPr>
          <w:rFonts w:ascii="Arial" w:hAnsi="Arial" w:cs="Arial"/>
          <w:b/>
          <w:bCs/>
          <w:color w:val="3366FF"/>
          <w:sz w:val="28"/>
          <w:szCs w:val="28"/>
        </w:rPr>
      </w:pPr>
      <w:r>
        <w:rPr>
          <w:rFonts w:ascii="Arial" w:hAnsi="Arial" w:cs="Arial"/>
          <w:b/>
          <w:bCs/>
          <w:color w:val="3366FF"/>
          <w:sz w:val="28"/>
          <w:szCs w:val="28"/>
        </w:rPr>
        <w:t>ТОРКОВИЧСКОЕ СЕЛЬСКОЕ ПОСЕЛЕНИЕ ЛУЖСКОГО МУНИЦИПАЛЬНОГО РАЙОНА ЛЕНИНГРАДСКОЙ ОБЛАСТИ.</w:t>
      </w:r>
    </w:p>
    <w:p w:rsidR="001E747B" w:rsidRDefault="001E747B">
      <w:pPr>
        <w:spacing w:after="0" w:line="240" w:lineRule="auto"/>
        <w:rPr>
          <w:rFonts w:ascii="Times New Roman" w:hAnsi="Times New Roman" w:cs="Times New Roman"/>
          <w:sz w:val="24"/>
          <w:szCs w:val="24"/>
        </w:rPr>
      </w:pPr>
    </w:p>
    <w:p w:rsidR="001E747B" w:rsidRDefault="001E747B">
      <w:pPr>
        <w:pStyle w:val="BodyText2"/>
        <w:ind w:firstLine="360"/>
      </w:pPr>
      <w:r>
        <w:t>Настоящим положением устанавливается герб муниципального образования Торковичское сельское поселение Лужского муниципального района Ленинградской области, его описание и порядок официального использования.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Общие положения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 Герб муниципального образования Торковичское сельское поселение Лужского муниципального района Ленинградской области (далее – Герб) является официальным символом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1.2. Положение о Гербе и рисунки Герба в многоцветном и одноцветном вариантах хранятся в Администрации муниципального образования Торковичское сельское поселение Лужского муниципального района Ленинградской области и доступны для ознакомления всем заинтересованным лицам.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1.3. Герб подлежит внесению в Государственный геральдический регистр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Геральдическое описание и обоснование символики Герба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2.1. Геральдическое описание Герба: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серебряном поле под черной главой, обремененной золотым цветком о пяти лепестках с лазоревым (поверх главы - серебряным) левым волнистым боковиком, обремененным тремя летящими одна над другой ласточками ( в серебре - черной, летящей вправо и в лазури двумя серебряными противонаправленными, верхняя из которых летит влево)- две лазуревые стеклодувные трубки накрест, сопровождаемые по сторонам четырьмя такими же пламенами (верхнее и нижнее из которых - в столб и противонаправлены, а прочие - расходятся в стороны)”.</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Стороны в геральдике определяются от лица, держащего щит.</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2.2. Толкование символики Герба: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недавнем прошлом Торковичи (написание в разное время в дореволюционных источниках- Турковичи, Тарковичи)- поселок городского типа в Лужском районе Ленинградской области на реке Оредеж, в месте где она впадает в Антоново озеро. Железнодорожная станция на линии Санкт-Петербург - Дно Витебского направления, проходящего через поселок. В Указателях МПС станция именуется “Тарковичи”.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Первое упоминание о Торковичах (Тарковичах) находим в "Переписной книге Воятской (Водской) пятины 1500 г.". В ней (стр. 352, III т.) говорится: "...в Никольско- Бутковском погосте &lt;...&gt; значится &lt;...&gt; деревня Тарковичи над озером Антоновым во дворе Есепко Окенков, дети его Васюк да Олиско, во дворе Парфенка Ондронов, во дворе Степанко Ондронов, во дворе Чурилко Тюров, дети его Микулко да Степанко, во дворе Ульянко Петрушин, во дворе Игнатка Федотов &lt;...&gt; сеют ржи пол-третьядцать коробей, а сена косят 60 копен 6 обеж, а дохода деньгами полтина и гривна". После сбора урожая с крестьян взималось "11 коробей ячмени", ржи - 10, овса - 3, "коробья без четвертки пшеницы, а ключнику 2 коробеи ржи" (Емельянов В. “Откуда есть пошла” деревня Торковичи //Уездный город: Историко-литературный альманах. Луга. 2007. С. 51). В статье (автор Кочеткова Л.) “Торковичам 500 лет”, опубликованной в “Лужской правде” 15 августа 2000 года приводится несколько иное написание населенного пункта и сведения о значении топонима: “В Никольском - Будковском погосте значится деревня Турковичи над озером над Онтоновым. “Турку”- в переводе с финно-угорского языка - “селение над водой”.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Второй известный на сегодняшний день документ о Торковичах датирован 1646 г. Он тоже хранится в Москве в Архиве древних актов (ЦГИАДА, Ф.1209, кн. 984, лист 293) и аналогичен первому, но несет больше исторические сведения. В нем в подворной переписи населения значится: "...всего в Тарковичах 2 двора крестьянских, детей 5 человек, 2 двора бобыльских, детей 3 человека и всего 12 человек". (бобылями тогда называли безземельных крестьян). Сразу настораживает то, что в каждом доме проживали сироты и что "бобыль Алешка Степанов слеп..."</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Другой документ впервые называет местного господина. Живущие в четырех домах смерды - крепостные Филиппа Лугвенева. Других данных о помещике нет. Не известно, кто такой Лугвенев, когда и за какие заслуги ему пожалованы земли с крестьянами? Можно утверждать, что и в этом списке указаны не все сдворки и не все крестьяне, а также и то, что совладельцем села был Кирьян Бестужев.</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Первоначальные предположения о размерах деревни подтвердил И. Половинкин в "Лужской правде" от 27.09.2003 г. в заметке "Стокгольмская находка" автор рассказал об обнаруженном исследователем А. Селиным в шведском Королевском военном архиве листке с текстом на русском языке. Размер находки 13,7x15 см, дата записи не указана. Эта бумажка в несколько строк оказалась описью владельцев речных лодок (челнов) в деревнях Перечицы, Затуленье, Патрушина Гора, Торковичи.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публикации И. Половинкин называет Кирьяна Бестужева переписчиком "чолнов"; он вероятно являлся не чиновником, а их владельцем. Само название бумаги "память Кирьяну Бестужеву" с употреблением имени в дательном падеже определяет адресат. Кроме того, Бестужевы по межевым планам и спискам дворянской недвижимости на протяжении веков и до конца 18 века владели в Лужском уезде обширными поместьями, в том числе в указанных в "Памяти..." селах. Например: в Торковичах в некоторых планах за 1783 г. князья Бестужевы фигурируют как бывшие помещики (ЦГИА СПб. фонд 536, 190).</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Три "чолны" &lt;...&gt; в Перечицах &lt;...&gt; да в Торковичах Куракова крестьянина Мякинина у Гриши у Стехова чолн". У Гриши Мякинина по прозвищу Стехов, "крестьянина Куракова чолн". Вероятно, Кураков - назначенный Бестужевым староста либо просто старший над двумя домами, включая двор Гриши. Есть в листке и еще один владелец лодки: "...да в Тарковичах Федора Лугвенева чолн". Возможно это отец (или дед?) Филиппа Лугвенева из 1646 года? Здесь Федор определяется как человек Бестужева, если мы правильно перевели на современный язык слово "память". Филипп же выступает в качестве владельца земель в деревне, а точнее, он совладелец с Бестужевым. Указание только имени без отчества, отсутствие обозначения сана или звания говорит о принадлежности к простолюдинам. И вывод таков: в середине 17 века в Торковичах известно только два помещика: Кирьян Бестужев и Филипп Лугвенев.</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конце XVIII века в деревне Торковичи - 12 дворов, 47 мужчин, 48 женщин. Селение при озере Антоновом дачею простирается до ручья Доровскому, речки Городенки на левой, оврага Хвостеца на правой сторонах и до озера Безрыбного. Земля серопещанная, их посеянного на ней хлеба лучше родятся рожь, гречиха, ячмень, а прочие семена и покосы посредственны. Крестьяне на господском оброке и землю всю обрабатывают на себя, а женщины сверх полевых работ упражняются в рукоделиях: прядут лен, шерсть, ткут холсты и сукна для себя, а отчасти на продажу (Кочеткова Л. Торковичам - 500 лет //Лужская правда. 2000. 15 авг. С. 2).</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книге “Описание Санктпетербургской губернии по уездам и станам” (СПб. 1838. С. 104) приведены данные о населенных пунктах территории современного Торковичского сельского поселения: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“113. Влекшицы, 6 душ мужского пола, 9- женского 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114. Ерышево, 41 душ мужского пола, 40-женского - генерал - майорши Бегичевой;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116. Тарковичи, 18 душ мужского пола, 16- женского - статской советницы Мясоедовой;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14 душ мужского пола, 15- женского - надворного советника Воеводского;</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10 душ мужского пола, 12 женского - прапорщика Антонова;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души мужского пола, 6 женского - поручика Ильина;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14 душ мужского пола, 16 женского - генерал-аншефа Сукина;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117. Овиновичи, 18 душ мужского пола, 23-женского - генерал - майорши Бегичевой;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118. Федорова, или Дудорова гора, 14 душ мужского пола, 12- женского генерал-аншефа Сукина”.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публикации (автор А. Рысин) в “Лужской правде” за 2001 год упоминаются и другие дворяне землевладельцы: “…оставили о себе память крупные землевладельцы: действительный статский советник государственной коллегии Петр Васильевич Бакунин, инженер-полковник Иван Васильевич Антонов, Елизавета Абрамовна Пушкина - вдова полковника Елизара Назаровича Пушкина - дальнего родственника великого поэта, крупная помещица, дочь Бакунина - жена действительного статского советника Александра Николаевна, помещик Ростислав Станиславович Вонранд. Бакунина владела 1593 десятин в районе Торковичей” (Рысин А. Новости с волости //Лужская правда. 2001. 4 сент. С. 2).</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 9-ой "Ревизской сказке" 1850 г. в землях д. Торковичи числилось 4 поместья. Самое крупное из них, около 2,500 десятин, принадлежало А. Н. Мясоедовой. Ее основные угодья занимали большую площадь пустоши (местности) Торку, простирались с востока на запад от современной Крестьянской улицы и ее продолжения на север до болота к ручью Доросскому (Дудоровскому) и речки Городенки. В ее же владения входили чуть меньшего размера площади в Детковской пустоши (от оврага Хвостеца при восточной оконечности дороги в Овиновичи до оврага Детковского, ныне Плитнего) и пуст. Старцева (до оврага Безымянного у кладбища). Ранее, в XVI-XVII вв. эти вотчины по косвенным данным были за Бестужевыми.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последней четверти XVIII в. по указу Екатерины II во всех губерниях прошло "генеральное межевание". На карте 1780-х годов обозначены Тарковичи. По этому межеванию в 1873 г. в Торковичах указанные выше земли закреплены за помещиком Петром Васильевичем Бакуниным Большим — Членом и Кавалером Государственной Комиссии Иностранных Дел, Действительным Статским Советником. Статским Советником. Был в Лужском уезде и Бакунин Меньший, полный тезка и дальний родственник Большому, и служили они в одном ведомстве. Петр Меньший имел усадьбу на берегу озера Врево. Его потомок, Николай Модестович Бакунин, обращался в Разрядный Архив на подтверждение свое родословной и прав на вотчины. В 1840 г. Получил ответ, в котором, в частности, говорилось: предок фамилии Бакуниных Зенислав Бакуни, ведущий род свой, как видно по свидетельству Польских Историков, от древнего в Трансильвании Дому Баттора с двумя братьями своими Батучердом и Анципитром в Россию выехали из Венгрии в 1492г. Потомки Батучерда стали называться Батуриными, "... а потомки от Зенислава — Бакунины служили Российскому Престолу Дворянские службы в числе детей Боярских и в других разных чинах и жалованы были от Государей поместьями,&lt;...&gt;, а в Лужском уезде им, Николаю и Петру, имения состоят и по ревизской сказке 297 душ". Кроме Торковичей наш Петр Васильевич Большой получил вотчину по соседству на Петрушиной горе. И все это богатство перейдет по наследству к его единственной дочери Ульяне. Она выйдет замуж за полковника и сенатора Николая Федоровича Мясоедова. На Петре Большом поэтому фамилия Бакуниных сойдет из документов по Бутковскому погосту. Муж Ульяны родом из Тульской губернии, а жил он в "... первой Адмиралтейской части четвертого квартала в своем доме". Служил обер-секретарем в правительствующем сенате. Статский советник и кавалер. Принадлежал к древнему дворянскому роду, что явствует из 8-ой части Гербовника: "К великому Князю Ивану Васильевичу в 1464 г. выехали из Польши в Москву служить два брата Хрущ, от коего пошли Хрущовы и Мясоед, коему по крещении наречено имя Яков и от него пошли Мясоедовы. Его потомки служили Российскому престолу Стольниками, стряпчими и в иных чинах. В 1617 г. Были жалованы от Государя поместьями" (ЦГИА СПб.,Ф. 536,оп. 6, д. 315) Николай Федорович прикупил для жены в Торковичи дворовых крестьян без земли в соседнем селе Дурово у А. В. Крамера, в свою очередь купленных в 1871г. У Андрея Емельяновича Ласунского. Для нас это обстоятельство важно тем, что дает возможность определить примерное время постройки усадебного дома. Видимо, он заложен при Ульяне, а построен ее дочерью Александрой Николаевной, имя которой появится в межевых планах с 1845 года. У Мясоедовых было трое детей. Два сына — Павел и Константин (1803 и 1810 г. рождения соотв.). Но оба поместья унаследовала их старшая сестра Александра. Как поясняют скудные архивные документы, она серьезно болела. По этой причине, вероятно, и не выходила замуж. Тем не менее, деятельно занималась хозяйством. Постоянно проживая в Петербурге и арендуя полдома в Луге часто бывала в Торковичах. Крестьяне, исполняя барщину, требовали досмотра. Нужно было благоустраивать усадьбу. При ней были заложены обе аллеи, сходящиеся на въезде к барскому дому. Но в последние годы жизни совсем слегла (умерла она в 1861 году). Ее опекуном и управляющим хозяйством был брат Павел. На его долю пришлись организационные хлопоты по проведению реформы об отмене крепостного права, сбору налогов с крестьян за выкупные участки. Еще раньше он прикупил смежные дачи (угодья) у помещицы ильиной с хорошими пашнями и сенокосами (полоса от нынешней Крестьянской улицы к востоку, почти до Крестьянского переулка и до болота), а также лесом в местечке Фадеево (южная половина пустоши Симавло до Листвинской дороги). Наконец, вел дела по трудно проходящему разделу всех земель Бакунинских между многочисленными наследниками в 1866 г. Раздел дался нелегко— он умер от паралича в 1868 г. Наследников действительно оказалось многовато: три дочери Павла, четверо племянников умершего брата Константина да вдова Екатерина Иосифовна. Ничего необычного в деле о разделе не было бы, если бы не обилие документов с долговыми обязательствами потомков Бакунина. Все они к середине 1860-х годов XIX в. Задолжали купцу А. М. Варшавскому значительные суммы под обязательства от получения ссуд за "выкупные сборы" с крестьян.</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 положению об отмене крепостного права крестьяне за предоставление им 5,5 десятин на "лицо мужеского полу" должны были отдавать по 10 рублей серебром ежегодно в течении 49-ти лет своему помещику, а тот вносил деньги в банк. После полного расчета крестьян заполученные наделы, эти деньги возвращались помещику в виде выкупной ссуды. По мнению многих исследователей часть дворян, привыкшая жить за чужой труд, влезала в долги и разорялась, что наглядно подтвердилось незавидной участью Мясоедовых. Долговая кабала, очевидно, началась с Эразма Константиновича — племянника Павла. Он родился в Москве. По долгу службы оказался в Рославле, что на юге Смоленской губернии, где и проживал (или имел коммерческие интересы) купец Варшавский. Там вероятно и произошло знакомство. Сам Эразм признавался, что неоднократно брал крупные суммы. Добротой и отзывчивостью благодетеля пользовались и остальные Мясоедовы, Братья Эразма — Леонид, Иннокентий, Евгений, расселившиеся по стране. Половина претендентов наказывала своим поверенным продать их долю имения. Таким образом, нелегкое материально положение Мясоедовых, их финансовая зависимость проступает наглядно, и не стоит нам удивляться появлению не берегах Оредежа купца Варшавского. Запись в статистических данных того времени: "... а в Торковичах стеклянный завод Мясоедовой" вместо "завод Варшавского в землях Мясоедовых". Точку же в столь запутанном деле ставят акты продажи завода Ликфельду, а поместья Бари. Там и там Варшавский фигурирует владельцем.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документальных материалах архивного фонда Петроградского губернского статистического комитета фабричной инспекции имеются следующие данные о стекольном заводе Торковичи: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“28 декабря 1869 г.(по ст. ст.) купец 1-ой Гильдии коммерции советник Абрам Моисеевич Варшавский получил разрешение на строительство завода "... для производства стеклянной продукции близ деревни Торковичи", а 18 января 1871 г.(по ст. ст.) — на выработку ее (разрешение на производство работ в избранном им помещении в Лужском уезде Бутковской волости при деревне Торковичи близ станции Оредеж Московской Винадаво - Рыбинской железной дороги). В 1879 г. годовое производство завода составило 54300 рублей. Рабочих в производстве было занято 164 человека. Завод имел одну плавильную печь и занимался изготовлением питейной и аптекарской посуды и телеграфных изоляторов. В 1881 году завод перешел в собственность петербургского первой гильдии купца Альбрехта Рихардовича Ликфельда. В 1898 году для дальнейшего развития стекольного производства учреждается “акционерное общество стекольного производства А Р Ликфельд”. В 1903 году производство составило 674300 рублей, рабочих было занято на производстве 1072 человека. В 1914 году на заводе работало 457 человек” (Краткая справка о дате основания стекольного завода Торковичи. Государственный исторический архив Ленинградской области. 1962 г., 10 мая со ссылкой на: Ф. 260. оп. 1. д. 56, оп. 2. д. 121, ф. 256. оп. 12. д. 64, оп. 26, д. 691, ф. 1229. оп. 1. д. 1175 //Лужский историко - краеведческий музей).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 данным книги (автор - Барышников М. Н.) “Деловой мир Петербурга: исторический справочник”. СПб. 2000. С. 267) “Общество стекольного производства Ликфельд А. Р. основано в 1880 году подданным Пруссии Альбрехтом Рихардом Ликфельдом (1848-?) в виде стекольного завода в деревне Тарковичи Лужского уезда Петербургской губернии, а также складов на Измайловском пр., 29 и магазина изделий из стекла в доме на набережной Екатерингофского канала, 13. В 1898 году преобразовано в АО с капиталом в 700 тысяч рублей (2800 именных и на предъявителя акций по 250 рублей). В 1903 году баланс акционерного общества - 1224600 рублей, чистая прибыль 26500 рублей. Правление располагалось на Исаакиевской площади, 7 – инженер-техник Алексей Александрович Пресс (он же председатель и директор- распорядитель); директора - Александр Ильич Тихомиров и Вильям Вильямович Барии (вместо него затем - А. М. Кобылин и И. Урбанский). Фирму патронировал Петербургский учетный и ссудный банк. Производилась стеклянная посуда и изделия для использования в электротехнике.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участке в 1791 десятин при с. Торковичи Бутковской волости Лужского уезда, принадлежащей товариществу в 1902 году находилось 20 заводских построек, в том числе 2 заводских корпуса с ванными, 3 горшечными и 52 закальными печами, паровая шлифовальня с сотней шлифовальных и гравировальных станков, 2 сушильни, кирпичный завод, столярная мастерская, 2 школы и приемный покой (Рысин А. Новости с волости //Лужская правда. 2001. 4 сент. С. 2).</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Рабочие Торковичского стекольного завода были активными участниками забастовочного движения 1905 и 1917 годов. Рабочим кружком завода в 1905 году был разработан проект письменной петиции, в которой требовали, чтобы власти отменили казнь кронштадтским и свеаборским матросам, судимым и приговоренным к смертной казни за революционную агитацию и деятельность среди матросов. В том же году рабочие устроили первомайскую демонстрацию. В память этого события Большая Слободская улица была переименована в Первомайскую ([Историческая справка, подготовленная стекольным заводом Тарковичи в июле 1970 г. к 100-летию завода]. Л. 1-2 //Лужский историко-краеведческий музей; Сенин Б. В заводском музее //Лужская правда. 1985. 27 февр).</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8 апреля 1905 г. большевицкая газета “Вперед” сообщала о начавшейся забастовке на стекольном заводе акционерного общества “Ликфкльд и Ко” в с. Торковичи. Основные требования рабочих: увеличение заработной платы и сокращение рабочего дня (ЛГИА. Ф. 253. оп. 10. д. 171. л. 123).</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Вскоре после начала Всероссийской политической стачки 18 октября управляющему заводом Бекманцу было представлено требование от 65 не вышедших на работу рабочих из 10 пунктов (о 8-часовом рабочем дне, об улучшении быта и медицинского обслуживания, об открытии бесплатных школ для детей рабочих). Опасаясь расширения забастовки, хозяин был вынужден уступить (Мордасова М. Рабочие добились успеха //Лужская правда. 1969. 11 июн.). В секретном рапорте начальника Санкт-петербургской губернской жандармерии от 25 октября 1905 г. Санкт-петербургскому губернатору сообщалось, что “рабочие завода в числе 65 человек 19 сего октября не вышли на работу и предъявили управляющему в числе требований”: чтобы работы начинались не ранее 4 часов утра и продолжительностью не более 8 часов с двумя перерывами: 1- й - 15 минут и 2-й - 45 минут; выдача жалования чтобы производилась два раза в месяц - 5 и 20 числа наличными деньгами, а не записками. Чтобы квартиры для рабочих отписывались по санитарным правилам. Осуществлялась медицинская помощь, чтобы прием был ежедневно, 2 раза в день. Устроить школу для детей завода на заводе и учить бесплатно. Вежливое обращение со стороны администрации завода. Больным по причине завода больше 3-х дней платили бы полный заработок до выздоровления. Расставить нужное количество фонарей в районе завода. Не воспрещать рабочим держать при квартире скотину и птиц (ЦГИА СПб. Ф. 253. Оп. 10. Д. 171. Л. 229 и 229 об).</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декабре 1905 года рабочие завода участвовали во всеобщей политической и экономической забастовке. О размахе забастовочного движения свидетельствует решение администрации завода о выплате рабочим пособия в размере полной заработной платы в течении трех дней и о сокращении рабочего дня с 11 до 9 часов. Большая забастовка торковичских рабочих произошла в 1914 году, когда они выдвинули к власти и администрации завода требования экономического характера, в том числе об установлении 8 часового рабочего дня. Забастовка продолжалась три недели и закончилась частичным удовлетворением требований забастовщиков- повышением заработной платы (ЦГИА СПб. Ф. 253. Оп. 10. Д. 416. Л. 1-3).</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1916 г. состоялась четырехдневная забастовка, в которой приняли участи все 450 человек, работавших на предприятии. Причина забастовки - недовольство существующими расценками сдельных работ. Началась забастовка 4 июня, продолжалась 4 дня. 9 июня все рабочие были рассчитаны и завод временно закрыт. Новый набор рабочих был намечен с 18 по 20 июня (ЦГИА СПб. Ф. 1229. Оп. 1. Д. 918б. Л. 179 об. - 180).</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После февральской революции 1917 года 4 марта 1917 года общезаводское собрание для организации контроля над работой и действиями администрации избрало рабочий комитет в составе 13 человек во главе с рабочим членом РСДРП (б) с 1912 года Алексеевым Г. 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Членами забастовочного комитета Торковичского стеклозавода были: Г. Я. Сувви, П. С. Бобков, И. Г. Писарев, А. П. Константинов. Первые торковичские большевики вели занятия со стеклодувами в кружке политграмоты (Сенин Б. В заводском музее //Лужская правда. 1985. 27 февр).</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Некоторые исторические сведения о Торковичах можно получить из анализа дореволюционных справочников. Так в книге “Волости и важнейшие селения Европейской России. Вып. VII. Губернии Приозерной группы” (C. 84) сказано:</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“Лужский уезд. Бутковская волость. Торковичи, село бывшее владельческое при р. Оредежи. Дворов - 19, жителей - 120, часовня, школа, лавка, стекольный завод”.</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фонде Петербургского губернского по крестьянским делам присутствия (Ф. 190) Центрального Государственного исторического архива Санкт-Петербурга хранятся Уставные грамоты торковичских дворян – землевладельцев: Семенского (1862 г., Оп. 10., Д. 333), фон Галлера (1869 г., Оп. 9. Д. 704), Мясоедовых, Лебедева, Коптева (1870-1873 гг., Оп. 9., Д. 865).</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“Памятной книжке Санкт-Петербургской губернии” за 1905 год (СПб. 1905. С. 148, 169) находим такие сведения: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“Торковское сельское общество Бутковской волости Лужского уезда – деревни Велекшицы, Дудорово, Овиновичи, Патрушина Гора, Торковичи, Точище.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Землевладельцы - Общество стекольного производства А. Р. Ликфельдт, Торковичи, 1811 десятин”.</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“Памятной книжке С.- Петербургской губернии на 1914-1915 гг.” (СПб. 1914. С. 152, 159) сказано:</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“Общество стекольного производства А. Р. Ликфельда. Рабочих 573 человека.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Частная школа при заводе А. Р. Ликфельд и Ко. Учителя - Г. Морозов, К. Колпакова.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Церковно-приходская школа при заводе Тарковичи. Учитель Дмитрий Меркулов”.</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местном стекольном заводе действовало общество трезвости (Хрисанов В. И. Незнакомая Луга. Луга. 2004. С. 158).</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Кроме того, в 1914 г. в Торковичах действовал лесопильный завод А. Х. Ефремова (ЦГИА СПб. Ф. 256. оп. 32. д. 170).</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Гербы местного дворянства: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lang w:val="en-US"/>
        </w:rPr>
      </w:pPr>
      <w:r>
        <w:rPr>
          <w:rFonts w:ascii="Times New Roman" w:hAnsi="Times New Roman" w:cs="Times New Roman"/>
          <w:sz w:val="24"/>
          <w:szCs w:val="24"/>
        </w:rPr>
        <w:t>Герб рода Бестужевых: “В щите, имеющем чёрное поле, изображены восемь золотых крестов, положенных числом три, два, три и имеющих на трёх верхних концах крестообразыне перекладины, а между ними, на середине щита, пятилиственный золотой цветок. Щит увенчан дворянским шлемом и короной, на поверхности которой виден выходящий строус с распростёртыми крыльями. Намет на щите чёрный, подложенный золотом (Общий Гербовник дворянских родов Всероссийской Империи, начатый в 1797 г (В дальнейшем, ОГ). Ч</w:t>
      </w:r>
      <w:r>
        <w:rPr>
          <w:rFonts w:ascii="Times New Roman" w:hAnsi="Times New Roman" w:cs="Times New Roman"/>
          <w:sz w:val="24"/>
          <w:szCs w:val="24"/>
          <w:lang w:val="en-US"/>
        </w:rPr>
        <w:t xml:space="preserve">. VIII. </w:t>
      </w:r>
      <w:r>
        <w:rPr>
          <w:rFonts w:ascii="Times New Roman" w:hAnsi="Times New Roman" w:cs="Times New Roman"/>
          <w:sz w:val="24"/>
          <w:szCs w:val="24"/>
        </w:rPr>
        <w:t>С</w:t>
      </w:r>
      <w:r>
        <w:rPr>
          <w:rFonts w:ascii="Times New Roman" w:hAnsi="Times New Roman" w:cs="Times New Roman"/>
          <w:sz w:val="24"/>
          <w:szCs w:val="24"/>
          <w:lang w:val="en-US"/>
        </w:rPr>
        <w:t>. 118).</w:t>
      </w:r>
    </w:p>
    <w:p w:rsidR="001E747B" w:rsidRDefault="001E747B">
      <w:pPr>
        <w:spacing w:after="0" w:line="240" w:lineRule="auto"/>
        <w:ind w:firstLine="360"/>
        <w:rPr>
          <w:rFonts w:ascii="Times New Roman" w:hAnsi="Times New Roman" w:cs="Times New Roman"/>
          <w:sz w:val="24"/>
          <w:szCs w:val="24"/>
          <w:lang w:val="en-US"/>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Герб рода Мясоедовых: “Щит разделен на четыре части, из коих в первой в голубом поле видна с правой стороны выходящая из облак в золотые латы облеченная рука с мечом. Во второй в красном поле белое распростертое крыло. В третьей частив красном же поле находится серебряная крепость. В четвертой части в голубом поле изображен выходящий из подошвы щита до половины золотой лев с мечом вверх поднятым. Щит увенчан дворянским шлемом с короною с строусовыми перьями. Намет на щите голубой и красный, подложенный золотом” (ОГ. Ч. VIII. С. 15).</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Герб рода Бакуниных: “Щит разделен на две части, из коих в верхней в красном поле изображены три серебряные волчьи зубы в десне положенные. На нижней части в серебряном поле находится дерево дуб. Щит увенчан обыкновенным дворянским шлемом с дворянскою на нем короною. Щитодержатели поставлены два Венгерца в древнем их одеянии с копьями, из коих один с левой стороны стоящий имеет на себе сверх платья львиную кожу. Намет на щите красный, подложенный золотом” (ОГ. Т. V. С. 41).</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Октябрьская революция принесла изменения в систему местного управления. В 1917 году был создан Торковичский сельсовет Бутковской волости Лужского уезда Петроградской губернии. (ЛОГАВ. Справочник по истории административно-территориального деления Ленинградской области. /Сост. Дубин А. С., Лебедева П. Г. Т. 8. С. 378 ).</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После Октябрьской революции рабочее собрание завода Торковичи избрало коллегиальную группу для управления заводом в составе трех человек: Тарасенкова М. М., Иванова Е. А., Кондратьева М. П. Декретом СНК от 30 июня 1918 года акционерное общество было национализировано (Собрание узаконений и распоряжений рабочее - крестьянского правительства за 1918 г). Торковичский завод АО стекольного производства "А. Р. Ликфельд" после национализации 20 февраля 1919 г. перешел в ведение правления "Райстекло", с 1921 г. назывался Государственным стекольным заводом "Торковичи". Дальнейшая подведомственность: январь 1922г. Петростеклотрест, октябрь 1923 г. Петроградское стекольно-промышленное объединение, 26 мая 1924 г. Лужский уисполком. 13 февраля 1926 г. стекольный завод "Торковичи" передан в подчинение Ленинградского государственного стекольного треста.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1923 году среди промыслов населения Бутковской волости преобладали следующие: плотничий и столярный, пилка и возка дров, сплав леса, выделка кож, производство валенок, рыбная ловля, заготовка дранки для крыш, грибно - ягодный промысел (Бюл. Ленингр. губ. Отдела статистики. 1924. N 8., февр. С. 32).</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мае 1927 г. поселок сельского типа Торковичи получил статус рабочего поселка, а 1 августа того же года вошел в созданный Оредежский район Ленинградской области. С апреля 1931 г. - в составе Бутковского сельсовета Оредежского района.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книге “Районы Лужского округа. Экономико-статистическое описание” (Л. 1928. С. 53, 57) приведены такие данные о Торковичах:</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нескольких верстах от районного центра - станции Оредеж на реке Оредежи расположен большой стекольный завод “Торковичи”, принадлежащий Ленинградскому стекольному тресту. Завод этот летом 1926 года сгорел, но восстановлен в настоящее время и насчитывает 1068 рабочих (на 1 октября 1927 года), продукция завода на 1926/1927 год равна 1488 тысяч рублей. Большое значение в рыболовном отношении имеет река Оредеж и озеро Антоновское, через которое она протекает. Количество рыбы, вылавливаемой за год, достигает 10 тонн. По переписи 1926 года население поселка Торковичи составляло 1149 человек (556 мужчин и 593- женщин). Из них русских - 1097 человек, 1 латыш, 19 эстов, 18 поляков и 14- прочих”.</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книге “Справочник по районам Ленинградской области” (Л. 1930. С. 155-156) приведены такие данные.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1930 г. в составе Торковичского сельсовета насчитывается 19 населенных пунктов. В Торковичах действует сельхозартель “Новый путь”, объединяющая 18 хозяйств с населением 77 человек, членов колхоза - 48 человек, площадь пашни - 56,5 га, 23 головы КРС. Стекольный завод “Торковичи”, подчиненный местному ВСНХ. Владелец- Ленинградский стекольный трест. Списочное число лиц, занятых на нем на 1 июля 1930 года - 1297 рабочих, 28 работников среднего персонала, 63- служащих. Главные изделия завода - парфюмерная посуда, бутылки. Торковичская больница с амбулаторией (2 врача, 5 человек - среднего медицинского персонала, 20 коек, зубной врач), аптека. В Торковичах - школа - семилетка, профтехкурсы при Торковичском стекольном заводе. В 1929-1930-х годах на них занималось 25 человек. Действовало почтово-телеграфное отделение.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1933 году добыча кварцевого песка производилась “крестьянами. ...зимой частью открытым разносом, частью неглубокими штольнями с креплением подпорками”. По рассказам старожилов, песок с другого берега Антоновского озера из пещер, что под Борщево, возили лишь до войны, только зимой, по льду. Потом песок привозили откуда-то ниже по течению Оредежа, скорей всего из карьеров в Плоском.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Население (на 1 января 1935 г.) рабочего поселка Торковичи Оредежского района (ближайшая железнодорожная станция - полустанок Торковичи - на расстоянии 1 км.)- 2900 человек (Административно-экономический справочник по Ленинградской области. Л. 1936. С. 22).</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советское время завод был одним из предприятий стекольной промышленности, на которых внедрялись передовые технологии. Однако завод не пережил 1990-х годов (завод существовал до 4 января 1996 года, когда был закрыт - А. Рысин. Новости с волостей //Лужская правда. 2001. 4 сент. С. 2 ). В середине 1990-х здесь организовали нелегальный розлив спиртосодержащей жидкости - «красной шапочки». А когда все вскрылось, завод сгорел. Сейчас на бывшем предприятии уничтожено все оборудование, разрушены все печи.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1980-е годы в Торковичском Доме культуры действовал музей стекольного завода, но 15 марта 2006 года ДК сгорел, погибли и фонды местного музея.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“Лужской правде” за 1990 год говорилось: “За месяц завод производит более 1 млн. 300 тыс. флаконов. Продукция поставляется на парфюмерные заводы Ленинграда, Ташкента, Симферополя”. В виду устаревшего оборудования готовится документация на реконструкцию завода. Приступить к практическим работам планируется на 1994 год… “Выход один- реконструкция и модернизация производства, использующего многие ручные операции, применение гибкой робототехники. Но это уже горизонты следующей пятилетки…” (Колейко В. Нужна коренная реконструкция //Лужская правда. 1990. 21 июл).</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“Лужской правде” за 22 июня 1995 года в статье “Пожар в Торковичах” говорилось: “Несколько часов лужские пожарные боролись с огнем, который возник в акционерном обществе поселка Торковичи. Это производство занимается выпуском мазей, растворов по борьбе с вредными насекомыми. Пожарным удалось локализовать ситуацию и спасти производство. Ущерб, нанесенный огнем по предварительным данным достигает 30 млн. рублей”.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феврале 1996 года рабочий поселок Торковичи Лужского района был преобразован в сельский поселок “в связи с низкой численностью населения, отсутствием перспективы дальнейшего экономического и социального развития и роста численности населения” (Административно-территориальное деление Ленинградской области /Сост. В. Г. Кожевников. СПб. 1997. C. 15).</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том же месяце в “Лужской правде” было напечатано коллективное письмо бывших сотрудников завода со стажем от 15 до 40 и более лет, содержащее около ста подписей, в котором говорилось: “Обманным путем, не объяснив коллективу, что к чему, завод захватили “новые русские”, обещая помогать в приобретении сырья и топлива,- Под предлогом, что на парфюмерную продукцию нет спроса, был ликвидирован уникальный цех по производству точнечно - полированных и матовых флаконов для высших сортов парфюмерии, которые экспортировались в 14 стран мира. Цех переоборудовали под участок для розлива лака и тасола, еще один участок наладили для производства спиртных напитков. Ценное оборудование для производства стеклотары продали, а часть выбросили на свалку. В настоящее время завод прекратил свое существование. Люди остались без работы, без средств к существованию. Распродаются последние заводские ценности. На основании изложенного мы требуем: прекратить дальнейшее ограбление завода; вернуть предприятие на государственное управление. Наряду со сказанным, в письме также вспоминается славная 125-летняя история стекольного завода. В резкой форме дается оценка действий нового директора Ю. Г. Дунаева. Приводятся различные факты, которые без проверки их органами прокуратуры публиковать в газете, естественно недопустимо. В поселке находились клуб на 400 мест, детсад на 120 мест, амбулатория, больница… Полусгоревший и занесенный снегом Торковичский стклозавод встал. И встал, наверное, надлого…” (Тутов В. Все разлетелось вдребезги// Лужская правда. 1996. 22 февр. С. 1).</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опубликованной 6 августа 1996 г. в “Лужской правде” статье “Суд да дело” говорилось: “По запросу прокуратуры Ленинградской области о нарушении действующего законодательства при приватизации ГП “Торковичский стекольный завод” сотрудниками отдела экономической безопасности были представлены материалы. В настоящее время прокуратура готовит материал для выхода в судебные инстанции с иском о признании недействительной ликвидацию названного предприятия и его приватизацию”.</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Некоторые данные о Торковичах были опубликованы в журнале “Муниципальная власть” (1998. N 3): “Численность населения Торковичей в 1997 году - 1897 человек. Число родившихся в 1997 году - 7 человек, число умерших - 58. Естественный прирост населения составляет минус 51 человек. Доля пенсионеров в структуре населения Торковичей составляет 38,3 %. На 1000 жителей их приходится 382,6 человек. Трудоспособное население Торковичей - 899 человек, или 47% жителей. На производстве заняты 311 человек (58%), остальные 588- незаняты или безработные. 28 человек зарегистрированы на бирже труда. Это 5% безработных. Уровень безработицы в Торковичах равен 65,4 %. В период реформ Торковичский завод установил партнерские отношения с АО “Манта” из Санкт-Петербурга, которое в ходе приватизации стало владельцем контрольного пакета акций (75%), остальные были распределены между работниками предприятия и районным комитетом управления имуществом. Постепенно производство пришло в упадок, и с января 1996 года выпуск продукции прекратился. Контрольный пакет акций перешел в собственность финансового союза “Державный”. Стоимость завода по состоянию на 1997 год оценивалась в 20 млн. деноминированных рублей. По мнению директора завода В. А. Гаврилова, восстановить завод невозможно, нужно строить новый” (Акимин Е. Все сгорело и пожарные не нужны// Муниципальная власть. 1998. N 3. C. 64-66).</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В годы Великой Отечественной войны, c августа 1941 по февраль 1944 г. поселок был оккупирован немецко-фашистскими войсками. В 1941 году, по мере захвата немецкими войсками советской территории, практически во всех районах Северо - Запада нашей страны зарождалось партизанское движение. Партизанские отряды формировались из патриотов, партийно-комсомольского актива, и командирами повсеместно становились секретари райкомов партии. В Оредежском районе Ленинградской области, ныне вошедшем в Лужский район, партизанский отряд формировался в поселке Торковичи из рабочих и служащих расположенного там стекольного завода (36 рабочих стекольного завода участвовали в партизанском отряде, 25 из них отдали свою жизнь за свободу родины). 18 августа 1941 г. Торковичи были оккупированы. Перед уходом в лес при наступлении немцев с командиром отряда связалась старшая пионервожатая местной школы, комсомолка Аня Семенова, личную связь с которой поддерживал командир отряда И. И. Исаков – секретарь Оредежского райкома партии. Аня Семенова организовала группу девушек, бывших под ее руководством во время оккупации района. В 1941-1942 годах они регулярно ходили в лес, носили партизанам, которых хорошо знали как жителей поселка, овощи, чистое белье (стирали его дома по ночам), а также сообщали о дислокации и перемещениях немецких войск и отряда карателей СД, разместившихся к 1942 году в здании бывшей областной школы овощеводов – на так называемой мызе Васильковичи, вблизи поселка Оредеж. </w:t>
      </w: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Здесь каратели – уголовники, дезертиры и прочие подонки – кроме своей казармы устроили и тюрьму, и комнату допросов, которую сами называли «пыточной». Девушки из группы Ани Семеновой распространяли в деревнях и поселках советские листовки, полученные в отряде, о положении на фронтах, о блокадном Ленинграде. Им было по 18 лет, а младшей – Гале Комлевой – было всего 14 лет (посмертно награждена орденом Отечественной войны 1 степени), Елена Нечаева, Екатерина Богданова, Таисия Яковлева – все 1923 года рождения. В декабре 1942 года каратели выследили их и арестовали. Трагична судьба группы подпольщиков из поселка Торковичи, возглавляемая пионервожатой Аней Семеновой. Арестованным героям торковичского подполья Ане Семеновой, Сусанне Яковлевой, Кате Богдановой, Гале Комлевой, Лене Нечаевой и Таисии Яковлевой было предъявлено обвинение в деятельности, направленной против германского государства и его армии. Любой пункт этого обвинения грозил расстрелом. Палачи долго пытали и истязали девушек. В феврале 1943 года они были расстреляны в гестапо на мызе Васильковичи (Обухова Т. Это было недавно, это было давно //Лужская правда. 2005. 23 авг.; Сенин Б. В заводском музее //Лужская правда. 1985. 27 февр). В 1965 году чекистами Ленинградского Управления КГБ был арестован разысканный ими один из карателей Долин, бывший житель поселка Торковичи, хорошо знавший всех девушек-патриоток еще с довоенного времени. Во время следствия по его делу были вскрыты многие подробности гибели советских людей, в том числе и девушек-подпольщиц, так и не выдавших врагам место расположения отряда, который благодаря их подвигу сумел сменить дислокацию. В частности, во время следствия был допрошен как свидетель и бывший командир партизан Иван Иванович Исаков, впоследствии воевавший в 5-й партизанской бригаде Героя Советского Союза К. Д. Карицкого. К сожалению, на месте гибели отважных патриоток, которое было установлено в ходе следствия, и их останки были обнаружены, до сих пор нет достойного их памяти обелиска. Они покоятся в оборудованной скромным камнем братской могиле советских солдат, погибших в 1944 году в боях за Оредеж. В поселке Оредеж Лужского района две пенсионерки хранят в местном краеведческом музее память о погибших героинях – в форме стенда с их фотографиями. Память о патриотках берегут Горбунцова Галина Евгеньевна и Иванова Валентина Михайловна. Материал посвященный торковичиским партизанам приведен и в экспозиции Лужского краеведческого музея. Подвиг героинь-подпольщиц является не менее достойным памяти, чем память о героях «Молодой гвардии» в городе Краснодон, о подвиге которых есть и книги, и фильмы, и спектакли. Именем героини был назван рижский теплоход “Галя Комлева” (Сенин Б. В заводском музее //Лужская правда. 1985. 27 февр.; С 500-летием, Торковичи! //Провинциальные новости. 2000. N 33. С. 3).</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20 февраля 1944 г. Торковичи были освобождены советскими войсками. Освободил поселок лыжный батальон под командованием капитана Г. М. Максимова (Селин Б. Указ. Соч.). По решению обкома ВКП(б) с 24 февраля началось восстановление завода Торковичи из руин и развалин. В невероятно трудных условиях, живя в землянках, не имея строительных материалов, металла, инструмента коллектив в количестве 92 человек проявил стойкость, инициативу и находчивость. Удалось в короткое время восстановить завод, который выдал первую продукцию в феврале 1946 года. Предприятие работало на привозном сырье, поставляемом со всех концов СССР - кварцевый песок из Ульяновской области, доломит из Владимирской области, натриевая селитра из Московской области, сульфат натрия - из Казахстана и т. д. В канун нового 1973 г. коллективу торковичского завода было присуждено второе место во Всесоюзном социалистическом соревновании родственных предприятий в честь 50-летия образования СССР (Второе место в Союзе //Лужская правда. 1973. 1 янв. С. 1).</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мае 1959 г. создан Торковичский поселковый совет Лужского района, подчиненный с февраля 1963 г. Лужскому горисполкому. С января 1965 г. по сегодняшний день Торковичи в составе Лужского района Ленинградской области. После выборов в органы местного самоуправления, состоявшихся в 2005 г. было создано муниципальное образование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территории Торковсчского сельского поселения расположены частично земли геологического памятника природы - геологических обнажений девона на реке Оредеж (оз. Антоново ). Местоположение: Лужский район, между пос. Торковичи и ж.-д. станцией Оредеж. Организован Решением Леноблисполкома № 145 от 29.03.76 г. с целью сохранения геологических обнажений красных и белых кварцевых песков и песчаников среднего девона. Переутвержден Постановлением Правительства Ленинградской области № 494 от 26.12.96 г. Площадь — 270 га. Озеро Антоново занимает озеровидное расширение в древней доледниковой долине р. Оредеж. В крутом склоне коренного берега среди задернованных участков и осыпей на дневную поверхность выведены отложения девонского возраста, представленные песчаниками белого и над урезом воды около 27-28 м., но выходы девонских пород прослеживаются отдельными пятнами или фрагментами на высотах от 10 до 18 м. Общая протяженность обнажений составляет 750-800 м. В 1927-29 гг. песчаники разрабатывались штольнями как сырье для стекольного производства. Сегодня существует несколько лазов в штольни. В них можно увидеть древние геологические породы в естественном первичном залегании. Но из-за постоянно происходящих обрушений сводов штолен-пещер, постоянно меняется их высота, длина и профиль. Часть из них уже засыпана полностью. Так, из 5 лазов в штольни, существовавших в 1977 г., в 1995 г. при контрольном посещении было обнаружено лишь 2. В обнажениях на северном берегу озера в окрестностях дер. Плоское обнаружены окаменелые фрагменты девонских рыб. Среди обитающих птиц интересны виды южного происхождения: белый аист, обыкновенная горлица, сизоворонка. Наибольшую ценность в фаунистическом отношении представляют летучие мыши, использующие штольни в качестве мест зимовки: северный кожанок, ушан, усатая ночница, водяная ночница. Особо охраняемые объекты: обнажения девона, штольни; редкие виды животных — все виды летучих мышей, белый аист, сизоворонка. Режим охраны предусматривает запрет разработки карьеров, застройки местности, прокладки коммуникаций, рубок леса, захламления территории, а также других форм хозяйственной деятельности, наносящих урон природным комплексам (Красная книга природы Ленинградской области. Т. 1. СПб. 1999. С. 111-112).</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Золотой цветок о пяти лепестках в черни - напоминание о землевладельцах Бестужевых, а также этот символ можно рассматривать и как знак местной природы.</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Лазоревые стеклодувные трубки, положенные накрест, сопровождаемый по сторонам лазоревыми пламенами- напоминают о Торковичском стекольном заводе - предприятии с богатой историей, действовавшим на территории поселения с 1870 по 1996 годы.</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Волнистый левый боковик переменных цветов - напоминание об озере Антоново и реке Оредеж, о памятнике природы - крутых берегах реки Оредежа (озера Антоново), внесенных в Красную книгу природы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Лазоревый (синий, голубой)- честность, верность, безупречность, красота, мир, возвышенные устремления.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Чернь (черный) - символ благоразумия, мудрости, скромности, честности, вечности и древности бытия. Чернь это и символ былого промышленного производства, а сочетание лазури и серебра, помимо водных просторов, указывают и на былой основной профиль Торковичей - стеклодувное дело</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Серебро - чистота помыслов, правдивость, невинность, благородство, откровенность, непорочность, надежда.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Золото - символ божественного сияния, благодати, прочности, величия, солнечного света. Символизирует также могущество, силу, постоянство, знатность, справедливость, верность.</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Порядок воспроизведения Герба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3.1. Воспроизведение Герба, независимо от его размеров, техники исполнения и назначения, должно точно соответствовать геральдическому описанию, приведенному в п. 2.1. статьи 2 настоящего Положения. Воспроизведение Герба допускается в многоцветном, одноцветном и одноцветном с использованием условной штриховки для обозначения цветов вариантах (Приложения 1,2,3 к настоящему Положению).</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3.2. Ответственность за искажение рисунка герба, или изменение композиции или цветов, выходящее за пределы геральдически допустимого, несет исполнитель допущенных искажений или изменений.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Порядок официального использования Герба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 Герб муниципального образования помещается: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официальных представительств муниципального образования Торковичское сельское поселение за пределами муниципального 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рабочих кабинетах главы муниципального образования Торковичское сельское поселение, выборных и назначаемых должностных лиц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4.2. Герб помещается на бланках:</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правовых актов органов местного самоуправления и должностных лиц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представительного органа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главы муниципального образования Торковичское сельское поселение, исполнительного органа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иных выборных и назначаемых должностных лиц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4.3. Герб воспроизводится на удостоверениях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4.4. Герб помещается: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печатях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официальных изданиях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4.5. Герб может помещаться на: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наградах и памятных знаках муниципального 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должностных знаках главы муниципального образования Торковичское сельское поселение, председателя представительного органа местного самоуправления, депутатов представительного органа местного самоуправления, муниципальных служащих и работников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указателях при въезде на территорию муниципального 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объектах движимого и недвижимого имущества, транспортных средствах, находящихся в муниципальной собственности;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бланках и печатях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залах заседаний руководящих органов и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принадлежащих органам, организациям, учреждениям и предприятиям, находящимся в муниципальной собственности, муниципальном управлении или муниципальном подчинении, а также органам, организациям, учреждениям и предприятиям, учредителем (ведущим соучредителем) которых является муниципальное образование Торковичское сельское поселение, объектах движимого и недвижимого имущества, транспортных средствах.</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4.6. Допускается размещение Герба на: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печатных и иных изданиях информационного, официального, научного, научно - популярного, справочного, познавательного, краеведческого, географического, путеводительного и сувенирного характера;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грамотах, приглашениях, визитных карточках главы муниципального образования Торковичское сельское поселение, должностных лиц органов местного самоуправления, депутатов представительного органа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Допускается использование Герба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муниципальном образовании Торковичское сельское поселение Лужского муниципального района Ленинградской области или непосредственно связанных с муниципального образования Торковичское сельское поселение Лужского муниципального района Ленинградской области по согласованию с главой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4.7. При одновременном размещении ГЕРБА и Государственного герба Российской Федерации, ГЕРБ располагается справа от Государственного герба Российской Федерации (с точки зрения стоящего лицом к гербам).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и герба Ленинградской области, Герб располагается справа от герба Ленинградской области (с точки зрения стоящего лицом к гербам).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Государственного герба Российской Федерации и герба Ленинградской области, герб Российской Федерации располагается в центре, герб Ленинградской области – слева от центра, а Герб – справа от центра (с точки зрения стоящего лицом к гербам).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с другими гербами размер Герба не может превышать размеры Государственного герба Российской Федерации (или иного государственного герба), герба Ленинградской области (или герба иного субъекта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с другими гербами Герб не может размещаться выше Государственного герба Российской Федерации (или иного государственного герба), герба Ленинградской области (или герба иного субъекта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размещении ГЕРБА с любым государственным гербом, гербом субъекта Российской Федерации или иностранного региона, гербом иного муниципального образования, в тех случаях, когда размещаемые рядом с ГЕРБОМ гербы не имеют дополнительных элементов, ГЕРБ используется без дополнительных элементов.</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4.8. Порядок изготовления, использования, хранения и уничтожения бланков, печатей и иных носителей изображения Герба устанавливается органами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4.9. Иные случаи использования Герба устанавливаются Главой муниципального 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 Ответственность за нарушение настоящего Положения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5.1. Использование Герба с нарушением настоящего Положения, а также надругательство над гербом влечет за собой ответственность в соответствии с законодательством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6.1. Внесение в состав (рисунок) Герба каких-либо внешних украшений, а также элементов официальных символов Ленинградской области допустимо лишь в соответствии с законодательством Российской Федерации и Ленинградской области. Эти изменения должны сопровождаться пересмотром статьи 2 настоящего Положения для отражения внесенных элементов в описании.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6.2. Контроль исполнения требований настоящего Положения возлагается на Администрацию муниципального 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6.3. Настоящее Положение вступает в силу со дня его официального опубликования.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 N 1</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гербе муниципального</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ЦВЕТНОЕ ИЗОБРАЖЕНИЕ ГЕРБА.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 N 2</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гербе муниципального</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ЧЕРНО-БЕЛОЕ КОНТУРНОЕ ИЗОБРАЖЕНИЕ ГЕРБА.</w:t>
      </w:r>
    </w:p>
    <w:p w:rsidR="001E747B" w:rsidRDefault="001E747B">
      <w:pPr>
        <w:spacing w:after="0" w:line="240" w:lineRule="auto"/>
        <w:ind w:firstLine="360"/>
        <w:jc w:val="right"/>
        <w:rPr>
          <w:rFonts w:ascii="Times New Roman" w:hAnsi="Times New Roman" w:cs="Times New Roman"/>
          <w:i/>
          <w:iCs/>
          <w:sz w:val="24"/>
          <w:szCs w:val="24"/>
        </w:rPr>
      </w:pP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 N 3</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гербе муниципального</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ЧЕРНО-БЕЛОЕ КОНТУРНОЕ ИЗОБРАЖЕНИЕ ГЕРБА</w:t>
      </w: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С ИСПОЛЬЗОВАНИЕМ УСЛОВНОЙ ШТРИХОВКИ ДЛЯ ОБОЗНАЧЕНИЯ ЦВЕТОВ.</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sz w:val="24"/>
          <w:szCs w:val="24"/>
        </w:rPr>
        <w:br w:type="page"/>
      </w:r>
      <w:r>
        <w:rPr>
          <w:rFonts w:ascii="Times New Roman" w:hAnsi="Times New Roman" w:cs="Times New Roman"/>
          <w:i/>
          <w:iCs/>
          <w:sz w:val="24"/>
          <w:szCs w:val="24"/>
        </w:rPr>
        <w:t xml:space="preserve"> Приложение N 2</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УТВЕРЖДЕНО</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Решением Совета депутатов </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Торковичское сельское поселение </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Лужского муниципального района </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Ленинградской области </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N 61 от 26 июля 2011 г.</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jc w:val="center"/>
        <w:rPr>
          <w:rFonts w:ascii="Arial" w:hAnsi="Arial" w:cs="Arial"/>
          <w:b/>
          <w:bCs/>
          <w:color w:val="3366FF"/>
          <w:sz w:val="28"/>
          <w:szCs w:val="28"/>
        </w:rPr>
      </w:pPr>
      <w:r>
        <w:rPr>
          <w:rFonts w:ascii="Arial" w:hAnsi="Arial" w:cs="Arial"/>
          <w:b/>
          <w:bCs/>
          <w:color w:val="3366FF"/>
          <w:sz w:val="28"/>
          <w:szCs w:val="28"/>
        </w:rPr>
        <w:t>ПОЛОЖЕНИЕ О ФЛАГЕ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флаг муниципального образования Торковичское сельское поселение Лужского муниципального района Ленинградской области, его описание и порядок официального использования.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Общие положения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1.1. Флаг муниципального образования Торковичское сельское поселение Лужского муниципального района Ленинградской области (далее - Флаг) является официальным символом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1.2. Положение о флаге и рисунок ФЛАГА хранятся в Администирации и доступны для ознакомления всем заинтересованным лицам.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1.3. Флаг подлежит внесению в Государственный геральдический регистр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  Описание Флага </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Флаг муниципального образования Торковичское сельское поселение Лужского муниципального района Ленинградской области представляет собой прямоугольное полотнище с отношением ширины флага к длине - 2:3, воспроизводящее композицию герба муниципального образования Торковичское сельское поселение Лужского муниципального района Ленинградской области белом, черном, синем и желтом цветах..</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3. Порядок воспроизведения Флага </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3.1. Воспроизведение Флага, независимо от его размеров, техники исполнения и назначения, должно точно соответствовать описанию, приведенному в статье 2 настоящего Положения и рисунку, приведенному в приложении к настоящему Положению.</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3.2. Ответственность за искажение Флага, изменение композиции или цветов, выходящее за пределы геральдически допустимого, несет исполнитель допущенных искажений или изменений.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4. Порядок официального использования Флага </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 Флаг поднят постоянно:</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 зданиях официальных представительств муниципального образования Торковичское сельское поселение Лужского муниципального района Ленинградской области за пределами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4.2. Флаг установлен постоянно:</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рабочих кабинетах главы муниципального образования Торковичское сельское поселение, выборных и назначаемых должностных лиц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4.3. Флаг может:</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на зданиях и территориях органов, организаций, учреждений и предприятий, учредителем (ведущим соучредителем) которых является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быть установлен постоянно в залах заседаний руководящих органов и в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Флаг или его изображение может:</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главы муниципального образования Торковичское сельское поселение; иных выборных должностных лиц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находящихся в муниципальной собственности.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4.4. Флаг поднимается (устанавливается):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дни государственных праздников – наряду с Государственным флагом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во время официальных церемоний и других торжественных мероприятий, проводимых органами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4.5. Флаг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частных и семейных торжеств и значимых событий.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4.6. При использовании Флага в знак траура Флаг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4.7. При одновременном подъеме (размещении) Флага и Государственного флага Российской Федерации, Флаг располагается справа от Государственного флага Российской Федерации (с точки зрения стоящего лицом к флагам).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Флага и флага Ленинградской области, Флаг располагается справа от флага Ленинградской области (с точки зрения стоящего лицом к флагам).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Флага, Государственного флага Российской Федерации и флага Ленинградской области, Государственный флаг Российской Федерации располагается в центре, а Флаг – справа от центра (с точки зрения стоящего лицом к флагам).</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одновременном подъёме (размещении) чётного числа флагов (но более двух), Государственный флаг Российской Федерации располагается слева от центра (если стоять к флагам лицом). Справа от Государственного флага Российской Федерации располагается флаг Ленинградской области, слева от Государственного флага Российской Федерации располагается Флаг; справа от флага Ленинградской области располагается флаг иного муниципального образования, общественного объединения, либо предприятия, учреждения или организации.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4.8. Размер полотнища Флага не может превышать размеры полотнищ поднятых (установленных) рядом с ним Государственного флага Российской Федерации (или иного государственного флага), флага Ленинградской области (или флага иного субъекта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Флаг не может располагаться выше поднятых (установленных) рядом с ним Государственного флага Российской Федерации (или иного государственного флага), флага Ленинградской области (или флага иного субъекта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4.9. Флаг или его изображение могут быть использованы в качестве элемента или геральдической основы:</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флагов, вымпелов и иных подобных символов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муниципальное образование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наград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должностных и отличительных знаках главы муниципального образования Торковичское сельское поселение, депутатов представительного органа местного самоуправления, выборных и назначаемых должностных лиц, сотрудников местного самоуправления и его подразделений;</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4.10. Флаг может быть поднят (установлен) постоянно или временно:</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памятных, мемориальных и значимых местах расположенных на территории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местах массвых собраний жителей муниципального образования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в учреждениях дошкольного воспитания и учреждениях среднего образования (средних школах).</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4.11. Допускается размещение Флага или его изображения на: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печатных и иных изданиях информационного, официального, научного, научно - популярного, справочного, познавательного, краеведческого, географического, путеводительного и сувенирного характера;</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грамотах, приглашениях, визитных карточках главы муниципального образования Торковичское сельское поселение, должностных лиц органов местного самоуправления, депутатов представительного органа местного самоуправления.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Допускается использование Флага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муниципальном образовании Торковичское сельское поселение Лужского муниципального района Ленинградской области или непосредственно связанных с муниципальным образованием Торковичское сельское поселение Лужского муниципального района Ленинградской области.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4.12. Иные случаи использования Флага устанавливаются Главой муниципального 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 Ответственность за нарушение настоящего Положения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5.1. Использование Флага с нарушением настоящего Положения. а также надругательство над Флагом влечет за собой ответст­венность в соответствии с законодательством Российской Федерации.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6.1. Внесение в состав (рисунок) Флага каких-либо изменений или дополнений, а также элементов официальных символов Ленинградской области допустимо лишь в соответствии с законодательством Российской Федерации и законодательством Ленинградской области. Эти изменения должны сопровождаться пересмотром статьи 2 настоящего Положения для отражения внесенных элементов в описании.</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6.2. Контроль исполнения требований настоящего Положения возлагается на Администрацию муниципального 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6.3. Настоящее Положение вступает в силу со дня его официального опубликования.</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к Положению о флаге муниципального</w:t>
      </w:r>
    </w:p>
    <w:p w:rsidR="001E747B" w:rsidRDefault="001E747B">
      <w:pPr>
        <w:spacing w:after="0" w:line="240" w:lineRule="auto"/>
        <w:ind w:firstLine="360"/>
        <w:jc w:val="right"/>
        <w:rPr>
          <w:rFonts w:ascii="Times New Roman" w:hAnsi="Times New Roman" w:cs="Times New Roman"/>
          <w:i/>
          <w:iCs/>
          <w:sz w:val="24"/>
          <w:szCs w:val="24"/>
        </w:rPr>
      </w:pPr>
      <w:r>
        <w:rPr>
          <w:rFonts w:ascii="Times New Roman" w:hAnsi="Times New Roman" w:cs="Times New Roman"/>
          <w:i/>
          <w:iCs/>
          <w:sz w:val="24"/>
          <w:szCs w:val="24"/>
        </w:rPr>
        <w:t>образования Торковичское сельское поселение</w:t>
      </w:r>
    </w:p>
    <w:p w:rsidR="001E747B" w:rsidRDefault="001E747B">
      <w:pPr>
        <w:spacing w:after="0" w:line="240" w:lineRule="auto"/>
        <w:ind w:firstLine="360"/>
        <w:rPr>
          <w:rFonts w:ascii="Times New Roman" w:hAnsi="Times New Roman" w:cs="Times New Roman"/>
          <w:sz w:val="24"/>
          <w:szCs w:val="24"/>
        </w:rPr>
      </w:pPr>
    </w:p>
    <w:p w:rsidR="001E747B" w:rsidRDefault="001E747B">
      <w:pPr>
        <w:spacing w:after="0" w:line="240" w:lineRule="auto"/>
        <w:ind w:firstLine="360"/>
        <w:jc w:val="center"/>
      </w:pPr>
      <w:r>
        <w:rPr>
          <w:rFonts w:ascii="Times New Roman" w:hAnsi="Times New Roman" w:cs="Times New Roman"/>
          <w:sz w:val="24"/>
          <w:szCs w:val="24"/>
        </w:rPr>
        <w:t>ИЗОБРАЖЕНИЕ ФЛАГА.</w:t>
      </w:r>
    </w:p>
    <w:sectPr w:rsidR="001E747B" w:rsidSect="001E7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47B"/>
    <w:rsid w:val="001E74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after="0" w:line="240" w:lineRule="auto"/>
      <w:jc w:val="center"/>
      <w:outlineLvl w:val="0"/>
    </w:pPr>
    <w:rPr>
      <w:rFonts w:ascii="Arial" w:hAnsi="Arial" w:cs="Arial"/>
      <w:b/>
      <w:bCs/>
      <w:color w:val="3366FF"/>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47B"/>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spacing w:after="0" w:line="240" w:lineRule="auto"/>
      <w:jc w:val="center"/>
    </w:pPr>
    <w:rPr>
      <w:rFonts w:ascii="Arial" w:hAnsi="Arial" w:cs="Arial"/>
      <w:b/>
      <w:bCs/>
      <w:color w:val="3366FF"/>
      <w:sz w:val="28"/>
      <w:szCs w:val="28"/>
    </w:rPr>
  </w:style>
  <w:style w:type="character" w:customStyle="1" w:styleId="BodyTextChar">
    <w:name w:val="Body Text Char"/>
    <w:basedOn w:val="DefaultParagraphFont"/>
    <w:link w:val="BodyText"/>
    <w:uiPriority w:val="99"/>
    <w:semiHidden/>
    <w:rsid w:val="001E747B"/>
    <w:rPr>
      <w:rFonts w:ascii="Calibri" w:hAnsi="Calibri" w:cs="Calibri"/>
    </w:rPr>
  </w:style>
  <w:style w:type="paragraph" w:styleId="BodyText2">
    <w:name w:val="Body Text 2"/>
    <w:basedOn w:val="Normal"/>
    <w:link w:val="BodyText2Char"/>
    <w:uiPriority w:val="99"/>
    <w:pPr>
      <w:spacing w:after="0" w:line="240" w:lineRule="auto"/>
    </w:pPr>
    <w:rPr>
      <w:rFonts w:cstheme="minorBidi"/>
      <w:sz w:val="24"/>
      <w:szCs w:val="24"/>
    </w:rPr>
  </w:style>
  <w:style w:type="character" w:customStyle="1" w:styleId="BodyText2Char">
    <w:name w:val="Body Text 2 Char"/>
    <w:basedOn w:val="DefaultParagraphFont"/>
    <w:link w:val="BodyText2"/>
    <w:uiPriority w:val="99"/>
    <w:semiHidden/>
    <w:rsid w:val="001E747B"/>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23</Pages>
  <Words>9173</Words>
  <Characters>-32766</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Volk</dc:creator>
  <cp:keywords/>
  <dc:description/>
  <cp:lastModifiedBy>Ломанцов Виктор Анатольевич</cp:lastModifiedBy>
  <cp:revision>2</cp:revision>
  <dcterms:created xsi:type="dcterms:W3CDTF">2013-01-30T11:22:00Z</dcterms:created>
  <dcterms:modified xsi:type="dcterms:W3CDTF">2013-01-30T11:22:00Z</dcterms:modified>
</cp:coreProperties>
</file>